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2-353</w:t>
      </w:r>
      <w:r>
        <w:rPr>
          <w:rFonts w:ascii="Times New Roman" w:eastAsia="Times New Roman" w:hAnsi="Times New Roman" w:cs="Times New Roman"/>
        </w:rPr>
        <w:t>6-2611/24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Стопычевой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Нине Митрофановне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6"/>
          <w:szCs w:val="26"/>
        </w:rPr>
        <w:t>Стопычевой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Нине Митрофановне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переплаты страховой пенсии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Стопычевой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Нины Митрофановны, СНИЛС </w:t>
      </w:r>
      <w:r>
        <w:rPr>
          <w:rStyle w:val="cat-PhoneNumbergrp-11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Отделения Фонда пенсионного и социального страхования Российской Федерации по Ханты-Мансийскому автономному округу-Югре, ИНН </w:t>
      </w:r>
      <w:r>
        <w:rPr>
          <w:rStyle w:val="cat-PhoneNumbergrp-12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переплаты с</w:t>
      </w:r>
      <w:r>
        <w:rPr>
          <w:rFonts w:ascii="Times New Roman" w:eastAsia="Times New Roman" w:hAnsi="Times New Roman" w:cs="Times New Roman"/>
          <w:sz w:val="26"/>
          <w:szCs w:val="26"/>
        </w:rPr>
        <w:t>траховой пенсии в размере 16 139 (шес</w:t>
      </w:r>
      <w:r>
        <w:rPr>
          <w:rFonts w:ascii="Times New Roman" w:eastAsia="Times New Roman" w:hAnsi="Times New Roman" w:cs="Times New Roman"/>
          <w:sz w:val="26"/>
          <w:szCs w:val="26"/>
        </w:rPr>
        <w:t>тнадцать тыс</w:t>
      </w:r>
      <w:r>
        <w:rPr>
          <w:rFonts w:ascii="Times New Roman" w:eastAsia="Times New Roman" w:hAnsi="Times New Roman" w:cs="Times New Roman"/>
          <w:sz w:val="26"/>
          <w:szCs w:val="26"/>
        </w:rPr>
        <w:t>яч сто тридцать девять) рублей 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Стопычевой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Нины Митрофановны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государственную пошлину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58 копеек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«_____» ______________ 2024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2-3536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7">
    <w:name w:val="cat-PhoneNumber grp-11 rplc-7"/>
    <w:basedOn w:val="DefaultParagraphFont"/>
  </w:style>
  <w:style w:type="character" w:customStyle="1" w:styleId="cat-PhoneNumbergrp-12rplc-8">
    <w:name w:val="cat-PhoneNumber grp-1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